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bCs w:val="1"/>
          <w:color w:val="004a2e"/>
        </w:rPr>
      </w:pPr>
      <w:r w:rsidDel="00000000" w:rsidR="00000000" w:rsidRPr="00000000">
        <w:rPr>
          <w:rtl w:val="0"/>
        </w:rPr>
      </w:r>
    </w:p>
    <w:p w:rsidR="00000000" w:rsidDel="00000000" w:rsidP="00000000" w:rsidRDefault="00000000" w:rsidRPr="00000000" w14:paraId="00000002">
      <w:pPr>
        <w:rPr>
          <w:rFonts w:ascii="Arial" w:cs="Arial" w:eastAsia="Arial" w:hAnsi="Arial"/>
          <w:b w:val="1"/>
          <w:bCs w:val="1"/>
          <w:color w:val="004a2e"/>
        </w:rPr>
      </w:pPr>
      <w:r w:rsidDel="00000000" w:rsidR="00000000" w:rsidRPr="00000000">
        <w:rPr>
          <w:rtl w:val="0"/>
        </w:rPr>
      </w:r>
    </w:p>
    <w:p w:rsidR="00000000" w:rsidDel="00000000" w:rsidP="00000000" w:rsidRDefault="00000000" w:rsidRPr="00000000" w14:paraId="00000003">
      <w:pPr>
        <w:spacing w:after="280" w:before="280" w:line="240" w:lineRule="auto"/>
        <w:rPr>
          <w:rFonts w:ascii="Arial" w:cs="Arial" w:eastAsia="Arial" w:hAnsi="Arial"/>
          <w:b w:val="1"/>
          <w:bCs w:val="1"/>
          <w:color w:val="000000"/>
          <w:sz w:val="48"/>
          <w:szCs w:val="48"/>
        </w:rPr>
      </w:pPr>
      <w:r w:rsidDel="00000000" w:rsidR="00000000" w:rsidRPr="00000000">
        <w:rPr>
          <w:rFonts w:ascii="Arial" w:cs="Arial" w:eastAsia="Arial" w:hAnsi="Arial"/>
          <w:b w:val="1"/>
          <w:bCs w:val="1"/>
          <w:color w:val="000000"/>
          <w:sz w:val="48"/>
          <w:szCs w:val="48"/>
          <w:rtl w:val="0"/>
        </w:rPr>
        <w:t xml:space="preserve">Notitie</w:t>
      </w:r>
    </w:p>
    <w:p w:rsidR="00000000" w:rsidDel="00000000" w:rsidP="00000000" w:rsidRDefault="00000000" w:rsidRPr="00000000" w14:paraId="00000004">
      <w:pPr>
        <w:spacing w:after="280" w:before="280" w:line="240" w:lineRule="auto"/>
        <w:rPr>
          <w:rFonts w:ascii="Arial" w:cs="Arial" w:eastAsia="Arial" w:hAnsi="Arial"/>
          <w:color w:val="000000"/>
        </w:rPr>
      </w:pPr>
      <w:r w:rsidDel="00000000" w:rsidR="00000000" w:rsidRPr="00000000">
        <w:rPr>
          <w:rFonts w:ascii="Arial" w:cs="Arial" w:eastAsia="Arial" w:hAnsi="Arial"/>
          <w:b w:val="1"/>
          <w:bCs w:val="1"/>
          <w:color w:val="000000"/>
          <w:sz w:val="24"/>
          <w:szCs w:val="24"/>
          <w:rtl w:val="0"/>
        </w:rPr>
        <w:t xml:space="preserve">Van:</w:t>
        <w:tab/>
        <w:tab/>
      </w:r>
      <w:r w:rsidDel="00000000" w:rsidR="00000000" w:rsidRPr="00000000">
        <w:rPr>
          <w:rFonts w:ascii="Arial" w:cs="Arial" w:eastAsia="Arial" w:hAnsi="Arial"/>
          <w:color w:val="000000"/>
          <w:rtl w:val="0"/>
        </w:rPr>
        <w:t xml:space="preserve">Bestuur Coöperatie Duurzaam Eiland U.A.</w:t>
      </w:r>
    </w:p>
    <w:p w:rsidR="00000000" w:rsidDel="00000000" w:rsidP="00000000" w:rsidRDefault="00000000" w:rsidRPr="00000000" w14:paraId="00000005">
      <w:pPr>
        <w:spacing w:after="280" w:before="280" w:line="24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Aan:</w:t>
        <w:tab/>
      </w:r>
      <w:r w:rsidDel="00000000" w:rsidR="00000000" w:rsidRPr="00000000">
        <w:rPr>
          <w:rFonts w:ascii="Arial" w:cs="Arial" w:eastAsia="Arial" w:hAnsi="Arial"/>
          <w:color w:val="000000"/>
          <w:rtl w:val="0"/>
        </w:rPr>
        <w:tab/>
        <w:t xml:space="preserve">Algemene Ledenvergadering Coöperatie Duurzaam Eiland U.A.</w:t>
      </w:r>
    </w:p>
    <w:p w:rsidR="00000000" w:rsidDel="00000000" w:rsidP="00000000" w:rsidRDefault="00000000" w:rsidRPr="00000000" w14:paraId="00000006">
      <w:pPr>
        <w:spacing w:after="280" w:before="280" w:lineRule="auto"/>
        <w:ind w:left="1418" w:hanging="1418"/>
        <w:rPr>
          <w:rFonts w:ascii="Arial" w:cs="Arial" w:eastAsia="Arial" w:hAnsi="Arial"/>
          <w:color w:val="000000"/>
        </w:rPr>
      </w:pPr>
      <w:r w:rsidDel="00000000" w:rsidR="00000000" w:rsidRPr="00000000">
        <w:rPr>
          <w:rFonts w:ascii="Arial" w:cs="Arial" w:eastAsia="Arial" w:hAnsi="Arial"/>
          <w:b w:val="1"/>
          <w:bCs w:val="1"/>
          <w:color w:val="000000"/>
          <w:rtl w:val="0"/>
        </w:rPr>
        <w:t xml:space="preserve">Onderwerp:</w:t>
        <w:tab/>
      </w:r>
      <w:r w:rsidDel="00000000" w:rsidR="00000000" w:rsidRPr="00000000">
        <w:rPr>
          <w:rFonts w:ascii="Arial" w:cs="Arial" w:eastAsia="Arial" w:hAnsi="Arial"/>
          <w:color w:val="000000"/>
          <w:rtl w:val="0"/>
        </w:rPr>
        <w:t xml:space="preserve">Voorstel tot en toelichting bij integrale wijziging van de statuten</w:t>
      </w:r>
    </w:p>
    <w:p w:rsidR="00000000" w:rsidDel="00000000" w:rsidP="00000000" w:rsidRDefault="00000000" w:rsidRPr="00000000" w14:paraId="00000007">
      <w:pPr>
        <w:spacing w:after="280" w:before="280" w:lineRule="auto"/>
        <w:ind w:left="1418" w:hanging="1418"/>
        <w:rPr>
          <w:rFonts w:ascii="Arial" w:cs="Arial" w:eastAsia="Arial" w:hAnsi="Arial"/>
          <w:color w:val="000000"/>
        </w:rPr>
      </w:pPr>
      <w:r w:rsidDel="00000000" w:rsidR="00000000" w:rsidRPr="00000000">
        <w:rPr>
          <w:rFonts w:ascii="Arial" w:cs="Arial" w:eastAsia="Arial" w:hAnsi="Arial"/>
          <w:b w:val="1"/>
          <w:bCs w:val="1"/>
          <w:color w:val="000000"/>
          <w:rtl w:val="0"/>
        </w:rPr>
        <w:t xml:space="preserve">Doel:</w:t>
      </w:r>
      <w:r w:rsidDel="00000000" w:rsidR="00000000" w:rsidRPr="00000000">
        <w:rPr>
          <w:rFonts w:ascii="Arial" w:cs="Arial" w:eastAsia="Arial" w:hAnsi="Arial"/>
          <w:color w:val="000000"/>
          <w:rtl w:val="0"/>
        </w:rPr>
        <w:t xml:space="preserve"> </w:t>
        <w:tab/>
        <w:tab/>
        <w:t xml:space="preserve">inzicht bieden in de belangrijkste aandachtspunten bij de huidige concepttekst </w:t>
      </w:r>
    </w:p>
    <w:p w:rsidR="00000000" w:rsidDel="00000000" w:rsidP="00000000" w:rsidRDefault="00000000" w:rsidRPr="00000000" w14:paraId="00000008">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20956</wp:posOffset>
                </wp:positionH>
                <wp:positionV relativeFrom="paragraph">
                  <wp:posOffset>-13969</wp:posOffset>
                </wp:positionV>
                <wp:extent cx="5416550" cy="76200"/>
                <wp:effectExtent b="0" l="0" r="0" t="0"/>
                <wp:wrapNone/>
                <wp:docPr id="1" name=""/>
                <a:graphic>
                  <a:graphicData uri="http://schemas.microsoft.com/office/word/2010/wordprocessingShape">
                    <wps:wsp>
                      <wps:cNvCnPr/>
                      <wps:spPr>
                        <a:xfrm flipH="1" rot="10800000">
                          <a:off x="2650425" y="3754600"/>
                          <a:ext cx="5391150" cy="508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20956</wp:posOffset>
                </wp:positionH>
                <wp:positionV relativeFrom="paragraph">
                  <wp:posOffset>-13969</wp:posOffset>
                </wp:positionV>
                <wp:extent cx="5416550" cy="7620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416550" cy="76200"/>
                        </a:xfrm>
                        <a:prstGeom prst="rect"/>
                        <a:ln/>
                      </pic:spPr>
                    </pic:pic>
                  </a:graphicData>
                </a:graphic>
              </wp:anchor>
            </w:drawing>
          </mc:Fallback>
        </mc:AlternateContent>
      </w:r>
    </w:p>
    <w:p w:rsidR="00000000" w:rsidDel="00000000" w:rsidP="00000000" w:rsidRDefault="00000000" w:rsidRPr="00000000" w14:paraId="00000009">
      <w:pPr>
        <w:spacing w:after="280" w:before="280" w:line="240" w:lineRule="auto"/>
        <w:ind w:right="-426"/>
        <w:rPr>
          <w:rFonts w:ascii="Arial" w:cs="Arial" w:eastAsia="Arial" w:hAnsi="Arial"/>
          <w:b w:val="1"/>
          <w:bCs w:val="1"/>
          <w:color w:val="000000"/>
        </w:rPr>
      </w:pPr>
      <w:r w:rsidDel="00000000" w:rsidR="00000000" w:rsidRPr="00000000">
        <w:rPr>
          <w:rtl w:val="0"/>
        </w:rPr>
      </w:r>
    </w:p>
    <w:p w:rsidR="00000000" w:rsidDel="00000000" w:rsidP="00000000" w:rsidRDefault="00000000" w:rsidRPr="00000000" w14:paraId="0000000A">
      <w:pPr>
        <w:spacing w:after="280" w:before="280" w:line="240" w:lineRule="auto"/>
        <w:ind w:right="-426"/>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Aanleiding</w:t>
      </w:r>
    </w:p>
    <w:p w:rsidR="00000000" w:rsidDel="00000000" w:rsidP="00000000" w:rsidRDefault="00000000" w:rsidRPr="00000000" w14:paraId="0000000B">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statuten van Coöperatie Duurzaam Eiland U.A. dateren van de oprichting in juni 2020. In de tussenliggende jaren heeft de coöperatie zich verder ontwikkeld, wat aanleiding geeft tot een integrale herziening van de statuten. De voornaamste redenen voor deze herziening zijn:</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20" w:right="-426"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Aanpassing van de doelstellingen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 doelomschrijving wordt aangescherpt en uitgebreid om beter aan te sluiten bij de huidige en toekomstige activiteiten van de coöperatie, waaronder het explicieter opnemen van duurzaamheidsinitiatieven voor het buitengebied, het financieren van projectvennootschappen en het bijeenbrengen van risicodragend kapitaal van leden.</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26"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Toevoeging van een financieringsartikel.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De oprichtingsstatuten bevatten slechts een globale regeling over inleggelden. Het voorstel voorziet in een uitgebreidere en meer gestructureerde regeling voor jaarlijkse ledenbijdragen en (al dan niet risicodragend) ledenkapitaal.</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20" w:right="-426"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Aansluiting bij standaardstatuten voor lokale energiecoöperaties.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Het voorstel is opgesteld met het oogmerk de statuten meer in lijn te brengen met de gangbare praktijk en standaarden voor lokale energiecoöperaties, onder meer op het gebied van governance, ledenrechten en besluitvormingsprocedures.</w:t>
      </w:r>
    </w:p>
    <w:p w:rsidR="00000000" w:rsidDel="00000000" w:rsidP="00000000" w:rsidRDefault="00000000" w:rsidRPr="00000000" w14:paraId="0000000F">
      <w:pPr>
        <w:spacing w:after="280" w:before="280" w:line="240" w:lineRule="auto"/>
        <w:ind w:right="-426"/>
        <w:rPr>
          <w:rFonts w:ascii="Arial" w:cs="Arial" w:eastAsia="Arial" w:hAnsi="Arial"/>
          <w:color w:val="000000"/>
        </w:rPr>
      </w:pPr>
      <w:r w:rsidDel="00000000" w:rsidR="00000000" w:rsidRPr="00000000">
        <w:rPr>
          <w:rtl w:val="0"/>
        </w:rPr>
      </w:r>
    </w:p>
    <w:p w:rsidR="00000000" w:rsidDel="00000000" w:rsidP="00000000" w:rsidRDefault="00000000" w:rsidRPr="00000000" w14:paraId="00000010">
      <w:pPr>
        <w:spacing w:after="280" w:before="280" w:line="240" w:lineRule="auto"/>
        <w:ind w:right="-426"/>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Overzicht van de belangrijkste wijzigingen</w:t>
      </w:r>
    </w:p>
    <w:p w:rsidR="00000000" w:rsidDel="00000000" w:rsidP="00000000" w:rsidRDefault="00000000" w:rsidRPr="00000000" w14:paraId="00000011">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1. Begripsbepalingen (nieuw artikel 1)</w:t>
      </w:r>
    </w:p>
    <w:p w:rsidR="00000000" w:rsidDel="00000000" w:rsidP="00000000" w:rsidRDefault="00000000" w:rsidRPr="00000000" w14:paraId="00000012">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Het voorstel introduceert een uitgebreide definitiebepaling. Zo wordt het begrip "Buitengebied" voor het eerst formeel gedefinieerd als het buitengebied van de gemeente Houten, bestaande uit de plattelandskernen 't Goy, Schalkwijk en Tull en 't Waal, nader te specificeren in een huishoudelijk reglement.</w:t>
      </w:r>
    </w:p>
    <w:p w:rsidR="00000000" w:rsidDel="00000000" w:rsidP="00000000" w:rsidRDefault="00000000" w:rsidRPr="00000000" w14:paraId="00000013">
      <w:pPr>
        <w:spacing w:after="280" w:before="280" w:line="240" w:lineRule="auto"/>
        <w:ind w:right="-426"/>
        <w:rPr>
          <w:rFonts w:ascii="Arial" w:cs="Arial" w:eastAsia="Arial" w:hAnsi="Arial"/>
          <w:color w:val="000000"/>
        </w:rPr>
      </w:pPr>
      <w:r w:rsidDel="00000000" w:rsidR="00000000" w:rsidRPr="00000000">
        <w:rPr>
          <w:rtl w:val="0"/>
        </w:rPr>
      </w:r>
    </w:p>
    <w:p w:rsidR="00000000" w:rsidDel="00000000" w:rsidP="00000000" w:rsidRDefault="00000000" w:rsidRPr="00000000" w14:paraId="00000014">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15">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2. Bredere en concretere doelomschrijving (artikel 3)</w:t>
      </w:r>
    </w:p>
    <w:p w:rsidR="00000000" w:rsidDel="00000000" w:rsidP="00000000" w:rsidRDefault="00000000" w:rsidRPr="00000000" w14:paraId="00000016">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doelstellingen worden geherformuleerd en uitgebreid. Naast de reeds bekende activiteiten op het gebied van duurzame energie en energiebesparing omvatten de nieuwe statuten expliciet het financieren van ondernemingen en vennootschappen en het bijeenbrengen van risicodragend kapitaal van leden. Tevens wordt expliciet geregeld dat de coöperatie overeenkomsten met niet-leden kan sluiten, mits de ledenovereenkomsten niet van ondergeschikte betekenis worden.</w:t>
      </w:r>
    </w:p>
    <w:p w:rsidR="00000000" w:rsidDel="00000000" w:rsidP="00000000" w:rsidRDefault="00000000" w:rsidRPr="00000000" w14:paraId="00000017">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18">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3. Geografisch lidmaatschapscriterium (artikel 5)</w:t>
      </w:r>
    </w:p>
    <w:p w:rsidR="00000000" w:rsidDel="00000000" w:rsidP="00000000" w:rsidRDefault="00000000" w:rsidRPr="00000000" w14:paraId="00000019">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Waar de oprichtingsstatuten het lidmaatschap openstelden voor alle natuurlijke personen en rechtspersonen, stellen de nieuwe statuten als eis dat leden woonachtig dan wel gevestigd zijn in het Buitengebied. Het bestuur kan in bijzondere gevallen ontheffing verlenen. Tevens wordt een beroepsmogelijkheid op de ALV geïntroduceerd ingeval het bestuur toelating weigert.</w:t>
      </w:r>
    </w:p>
    <w:p w:rsidR="00000000" w:rsidDel="00000000" w:rsidP="00000000" w:rsidRDefault="00000000" w:rsidRPr="00000000" w14:paraId="0000001A">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1B">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4. Versterkte ledenrechten bij beëindiging lidmaatschap (artikel 8)</w:t>
      </w:r>
    </w:p>
    <w:p w:rsidR="00000000" w:rsidDel="00000000" w:rsidP="00000000" w:rsidRDefault="00000000" w:rsidRPr="00000000" w14:paraId="0000001C">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nieuwe statuten voorzien in aanvullende bescherming voor leden. Opzegging van het lidmaatschap door de coöperatie vereist voortaan goedkeuring van de ALV. Leden krijgen het recht om het lidmaatschap met onmiddellijke ingang op te zeggen indien hun rechten worden beperkt, hun verplichtingen worden verzwaard of bij een besluit tot fusie, splitsing of omzetting van de coöperatie. Tevens wordt een beroepsprocedure op de ALV geïntroduceerd bij ontzetting of gedwongen opzegging.</w:t>
      </w:r>
    </w:p>
    <w:p w:rsidR="00000000" w:rsidDel="00000000" w:rsidP="00000000" w:rsidRDefault="00000000" w:rsidRPr="00000000" w14:paraId="0000001D">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1E">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5. Nieuw financieringsartikel: jaarlijkse bijdrage en ledenkapitaal (artikel 9)</w:t>
      </w:r>
    </w:p>
    <w:p w:rsidR="00000000" w:rsidDel="00000000" w:rsidP="00000000" w:rsidRDefault="00000000" w:rsidRPr="00000000" w14:paraId="0000001F">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oprichtingsstatuten kenden slechts een beknopte regeling voor inleggelden. Het voorstel voorziet in een gestructureerd financieringsartikel waarbij de ALV, op voorstel van het bestuur, leden kan verplichten tot het betalen van een jaarlijkse bijdrage en/of het storten van al dan niet risicodragend ledenkapitaal. Bij beëindiging van het lidmaatschap wordt het ledenkapitaal zonder rentevergoeding terugbetaald.</w:t>
      </w:r>
    </w:p>
    <w:p w:rsidR="00000000" w:rsidDel="00000000" w:rsidP="00000000" w:rsidRDefault="00000000" w:rsidRPr="00000000" w14:paraId="00000020">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21">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6. Verbeterde governance: bestuur en belangenverstrengeling (artikelen 11 en 13)</w:t>
      </w:r>
    </w:p>
    <w:p w:rsidR="00000000" w:rsidDel="00000000" w:rsidP="00000000" w:rsidRDefault="00000000" w:rsidRPr="00000000" w14:paraId="00000022">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Bestuurders moeten voortaan lid zijn van de coöperatie. Nieuw is tevens een expliciete conflicterende belangregeling: een bestuurder met een tegenstrijdig belang neemt niet deel aan de beraadslaging en besluitvorming. Kan hierdoor geen bestuursbesluit worden genomen, dan beslist de ALV. Dit is een aanzienlijke verbetering ten opzichte van de oprichtingsstatuten, die toestonden dat een bestuurder met een tegenstrijdig belang de coöperatie niettemin vertegenwoordigde.</w:t>
      </w:r>
    </w:p>
    <w:p w:rsidR="00000000" w:rsidDel="00000000" w:rsidP="00000000" w:rsidRDefault="00000000" w:rsidRPr="00000000" w14:paraId="00000023">
      <w:pPr>
        <w:spacing w:after="280" w:before="280" w:line="240" w:lineRule="auto"/>
        <w:ind w:right="-426"/>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7. Versterkte rol van de ALV (artikel 13)</w:t>
      </w:r>
    </w:p>
    <w:p w:rsidR="00000000" w:rsidDel="00000000" w:rsidP="00000000" w:rsidRDefault="00000000" w:rsidRPr="00000000" w14:paraId="00000025">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ALV krijgt expliciet de bevoegdheid om besluiten van het bestuur aan haar goedkeuring te onderwerpen. Bovendien is het bestuur verplicht de aanwijzingen van de ALV op te volgen ten aanzien van de algemene lijnen van het financiële, sociale, economische en personeelsbeleid PDF.</w:t>
      </w:r>
    </w:p>
    <w:p w:rsidR="00000000" w:rsidDel="00000000" w:rsidP="00000000" w:rsidRDefault="00000000" w:rsidRPr="00000000" w14:paraId="00000026">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27">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8. Beperking volmachtverlening in de ALV (artikel 19)</w:t>
      </w:r>
    </w:p>
    <w:p w:rsidR="00000000" w:rsidDel="00000000" w:rsidP="00000000" w:rsidRDefault="00000000" w:rsidRPr="00000000" w14:paraId="00000028">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Waar de oprichtingsstatuten volmachtverlening aan niet-leden toelieten, is dit in het voorstel beperkt tot andere leden, waarbij elk lid slechts als gevolmachtigde voor één ander lid mag optreden.</w:t>
      </w:r>
    </w:p>
    <w:p w:rsidR="00000000" w:rsidDel="00000000" w:rsidP="00000000" w:rsidRDefault="00000000" w:rsidRPr="00000000" w14:paraId="00000029">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2A">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9. Verzwaard quorum voor statutenwijziging (artikel 24)</w:t>
      </w:r>
    </w:p>
    <w:p w:rsidR="00000000" w:rsidDel="00000000" w:rsidP="00000000" w:rsidRDefault="00000000" w:rsidRPr="00000000" w14:paraId="0000002B">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ff0000"/>
          <w:rtl w:val="0"/>
        </w:rPr>
        <w:t xml:space="preserve">Dit punt moet nog aangepast worden.</w:t>
      </w:r>
      <w:r w:rsidDel="00000000" w:rsidR="00000000" w:rsidRPr="00000000">
        <w:rPr>
          <w:rFonts w:ascii="Arial" w:cs="Arial" w:eastAsia="Arial" w:hAnsi="Arial"/>
          <w:color w:val="000000"/>
          <w:rtl w:val="0"/>
        </w:rPr>
        <w:br w:type="textWrapping"/>
        <w:t xml:space="preserve">De huidige statuten vereisen voor een statutenwijziging slechts een tweederde meerderheid van de uitgebrachte stemmen. Het voorstel voegt daar een quorumeis aan toe: de vergadering moet worden bijgewoond door ten minste tweederde van de leden. Wordt dit quorum niet gehaald, dan kan een tweede vergadering worden belegd zonder quorumeis, maar met behoud van de tweederde meerderheidseis.</w:t>
      </w:r>
    </w:p>
    <w:p w:rsidR="00000000" w:rsidDel="00000000" w:rsidP="00000000" w:rsidRDefault="00000000" w:rsidRPr="00000000" w14:paraId="0000002C">
      <w:pPr>
        <w:spacing w:after="280" w:before="280" w:line="240" w:lineRule="auto"/>
        <w:ind w:right="-426"/>
        <w:rPr>
          <w:rFonts w:ascii="Arial" w:cs="Arial" w:eastAsia="Arial" w:hAnsi="Arial"/>
          <w:b w:val="1"/>
          <w:bCs w:val="1"/>
          <w:i w:val="1"/>
          <w:iCs w:val="1"/>
          <w:color w:val="000000"/>
        </w:rPr>
      </w:pPr>
      <w:r w:rsidDel="00000000" w:rsidR="00000000" w:rsidRPr="00000000">
        <w:rPr>
          <w:rtl w:val="0"/>
        </w:rPr>
      </w:r>
    </w:p>
    <w:p w:rsidR="00000000" w:rsidDel="00000000" w:rsidP="00000000" w:rsidRDefault="00000000" w:rsidRPr="00000000" w14:paraId="0000002D">
      <w:pPr>
        <w:spacing w:after="280" w:before="280" w:line="240" w:lineRule="auto"/>
        <w:ind w:right="-426"/>
        <w:rPr>
          <w:rFonts w:ascii="Arial" w:cs="Arial" w:eastAsia="Arial" w:hAnsi="Arial"/>
          <w:b w:val="1"/>
          <w:bCs w:val="1"/>
          <w:i w:val="1"/>
          <w:iCs w:val="1"/>
          <w:color w:val="000000"/>
        </w:rPr>
      </w:pPr>
      <w:r w:rsidDel="00000000" w:rsidR="00000000" w:rsidRPr="00000000">
        <w:rPr>
          <w:rFonts w:ascii="Arial" w:cs="Arial" w:eastAsia="Arial" w:hAnsi="Arial"/>
          <w:b w:val="1"/>
          <w:bCs w:val="1"/>
          <w:i w:val="1"/>
          <w:iCs w:val="1"/>
          <w:color w:val="000000"/>
          <w:rtl w:val="0"/>
        </w:rPr>
        <w:t xml:space="preserve">10. Ontbinding: geen automatische ontbinding meer (artikel 25)</w:t>
      </w:r>
    </w:p>
    <w:p w:rsidR="00000000" w:rsidDel="00000000" w:rsidP="00000000" w:rsidRDefault="00000000" w:rsidRPr="00000000" w14:paraId="0000002E">
      <w:pPr>
        <w:spacing w:after="280"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oprichtingsstatuten bepaalden dat de coöperatie automatisch wordt ontbonden als er minder dan één lid is. In het voorstel is ontbinding uitsluitend nog mogelijk door een daartoe strekkend besluit van de ALV, waardoor de leden meer controle houden over de continuïteit van de coöperatie.</w:t>
      </w:r>
    </w:p>
    <w:p w:rsidR="00000000" w:rsidDel="00000000" w:rsidP="00000000" w:rsidRDefault="00000000" w:rsidRPr="00000000" w14:paraId="0000002F">
      <w:pPr>
        <w:spacing w:after="280" w:before="280" w:line="240" w:lineRule="auto"/>
        <w:ind w:right="-426"/>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spacing w:before="280" w:line="240" w:lineRule="auto"/>
        <w:ind w:right="-426"/>
        <w:rPr>
          <w:rFonts w:ascii="Arial" w:cs="Arial" w:eastAsia="Arial" w:hAnsi="Arial"/>
          <w:color w:val="000000"/>
        </w:rPr>
      </w:pPr>
      <w:r w:rsidDel="00000000" w:rsidR="00000000" w:rsidRPr="00000000">
        <w:rPr>
          <w:rFonts w:ascii="Arial" w:cs="Arial" w:eastAsia="Arial" w:hAnsi="Arial"/>
          <w:color w:val="000000"/>
          <w:rtl w:val="0"/>
        </w:rPr>
        <w:t xml:space="preserve">De volledige tekst van het voorstel tot statutenwijziging is beschikbaar gesteld bij de oproepingsstukken voor de ALV. Voor vragen kunnen leden zich wenden tot het bestuur.</w:t>
      </w:r>
    </w:p>
    <w:sectPr>
      <w:headerReference r:id="rId8" w:type="default"/>
      <w:headerReference r:id="rId9" w:type="first"/>
      <w:headerReference r:id="rId10" w:type="even"/>
      <w:footerReference r:id="rId11"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aven Pro">
    <w:embedRegular w:fontKey="{00000000-0000-0000-0000-000000000000}" r:id="rId1" w:subsetted="0"/>
    <w:embedBold w:fontKey="{00000000-0000-0000-0000-000000000000}" r:id="rId2" w:subsetted="0"/>
  </w:font>
  <w:font w:name="Fira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Maven Pro" w:cs="Maven Pro" w:eastAsia="Maven Pro" w:hAnsi="Maven Pro"/>
        <w:b w:val="0"/>
        <w:bCs w:val="0"/>
        <w:i w:val="1"/>
        <w:iCs w:val="1"/>
        <w:smallCaps w:val="0"/>
        <w:strike w:val="0"/>
        <w:color w:val="454545"/>
        <w:sz w:val="22"/>
        <w:szCs w:val="22"/>
        <w:u w:val="none"/>
        <w:shd w:fill="auto" w:val="clear"/>
        <w:vertAlign w:val="baseline"/>
      </w:rPr>
    </w:pPr>
    <w:r w:rsidDel="00000000" w:rsidR="00000000" w:rsidRPr="00000000">
      <w:rPr>
        <w:rFonts w:ascii="Maven Pro" w:cs="Maven Pro" w:eastAsia="Maven Pro" w:hAnsi="Maven Pro"/>
        <w:b w:val="0"/>
        <w:bCs w:val="0"/>
        <w:i w:val="1"/>
        <w:iCs w:val="1"/>
        <w:smallCaps w:val="0"/>
        <w:strike w:val="0"/>
        <w:color w:val="454545"/>
        <w:sz w:val="22"/>
        <w:szCs w:val="22"/>
        <w:u w:val="none"/>
        <w:shd w:fill="auto" w:val="clear"/>
        <w:vertAlign w:val="baseline"/>
        <w:rtl w:val="0"/>
      </w:rPr>
      <w:t xml:space="preserve">Notitie statutenwijziging Coöperatie Duurzaam Eiland U.A.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Maven Pro" w:cs="Maven Pro" w:eastAsia="Maven Pro" w:hAnsi="Maven Pro"/>
        <w:b w:val="0"/>
        <w:bCs w:val="0"/>
        <w:i w:val="0"/>
        <w:iCs w:val="0"/>
        <w:smallCaps w:val="0"/>
        <w:strike w:val="0"/>
        <w:color w:val="454545"/>
        <w:sz w:val="22"/>
        <w:szCs w:val="22"/>
        <w:u w:val="none"/>
        <w:shd w:fill="auto" w:val="clear"/>
        <w:vertAlign w:val="baseline"/>
      </w:rPr>
    </w:pP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Pr>
      <w:pict>
        <v:shape id="PowerPlusWaterMarkObject3" style="position:absolute;width:507.74515209291116pt;height:133.70759962595517pt;rotation:315;z-index:-503316481;mso-position-horizontal-relative:margin;mso-position-horizontal:center;mso-position-vertical-relative:margin;mso-position-vertical:center;" fillcolor="#c0c0c0" stroked="f" type="#_x0000_t136">
          <v:fill angle="0" opacity="32768f"/>
          <v:textpath fitshape="t" string="CONCEPT" style="font-family:&amp;quot;Maven Pro&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both"/>
      <w:rPr>
        <w:rFonts w:ascii="Maven Pro" w:cs="Maven Pro" w:eastAsia="Maven Pro" w:hAnsi="Maven Pro"/>
        <w:b w:val="0"/>
        <w:bCs w:val="0"/>
        <w:i w:val="0"/>
        <w:iCs w:val="0"/>
        <w:smallCaps w:val="0"/>
        <w:strike w:val="0"/>
        <w:color w:val="454545"/>
        <w:sz w:val="22"/>
        <w:szCs w:val="22"/>
        <w:u w:val="none"/>
        <w:shd w:fill="auto" w:val="clear"/>
        <w:vertAlign w:val="baseline"/>
      </w:rPr>
    </w:pP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Pr>
      <w:drawing>
        <wp:inline distB="0" distT="0" distL="0" distR="0">
          <wp:extent cx="1543591" cy="82297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43591" cy="822970"/>
                  </a:xfrm>
                  <a:prstGeom prst="rect"/>
                  <a:ln/>
                </pic:spPr>
              </pic:pic>
            </a:graphicData>
          </a:graphic>
        </wp:inline>
      </w:drawing>
    </w: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Pr>
      <w:pict>
        <v:shape id="PowerPlusWaterMarkObject1" style="position:absolute;width:507.74515209291116pt;height:133.70759962595517pt;rotation:315;z-index:-503316481;mso-position-horizontal-relative:margin;mso-position-horizontal:center;mso-position-vertical-relative:margin;mso-position-vertical:center;" fillcolor="#c0c0c0" stroked="f" type="#_x0000_t136">
          <v:fill angle="0" opacity="32768f"/>
          <v:textpath fitshape="t" string="CONCEPT" style="font-family:&amp;quot;Maven Pro&amp;quot;;font-size:1pt;"/>
        </v:shape>
      </w:pict>
    </w: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tl w:val="0"/>
      </w:rPr>
      <w:tab/>
    </w: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Pr>
      <w:drawing>
        <wp:inline distB="0" distT="0" distL="0" distR="0">
          <wp:extent cx="1314450" cy="781050"/>
          <wp:effectExtent b="0" l="0" r="0" t="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14450" cy="78105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Maven Pro" w:cs="Maven Pro" w:eastAsia="Maven Pro" w:hAnsi="Maven Pro"/>
        <w:b w:val="0"/>
        <w:bCs w:val="0"/>
        <w:i w:val="0"/>
        <w:iCs w:val="0"/>
        <w:smallCaps w:val="0"/>
        <w:strike w:val="0"/>
        <w:color w:val="454545"/>
        <w:sz w:val="22"/>
        <w:szCs w:val="22"/>
        <w:u w:val="none"/>
        <w:shd w:fill="auto" w:val="clear"/>
        <w:vertAlign w:val="baseline"/>
      </w:rPr>
    </w:pPr>
    <w:r w:rsidDel="00000000" w:rsidR="00000000" w:rsidRPr="00000000">
      <w:rPr>
        <w:rFonts w:ascii="Maven Pro" w:cs="Maven Pro" w:eastAsia="Maven Pro" w:hAnsi="Maven Pro"/>
        <w:b w:val="0"/>
        <w:bCs w:val="0"/>
        <w:i w:val="0"/>
        <w:iCs w:val="0"/>
        <w:smallCaps w:val="0"/>
        <w:strike w:val="0"/>
        <w:color w:val="454545"/>
        <w:sz w:val="22"/>
        <w:szCs w:val="22"/>
        <w:u w:val="none"/>
        <w:shd w:fill="auto" w:val="clear"/>
        <w:vertAlign w:val="baseline"/>
      </w:rPr>
      <w:pict>
        <v:shape id="PowerPlusWaterMarkObject2" style="position:absolute;width:507.74515209291116pt;height:133.70759962595517pt;rotation:315;z-index:-503316481;mso-position-horizontal-relative:margin;mso-position-horizontal:center;mso-position-vertical-relative:margin;mso-position-vertical:center;" fillcolor="#c0c0c0" stroked="f" type="#_x0000_t136">
          <v:fill angle="0" opacity="32768f"/>
          <v:textpath fitshape="t" string="CONCEPT" style="font-family:&amp;quot;Maven Pro&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Maven Pro" w:cs="Maven Pro" w:eastAsia="Maven Pro" w:hAnsi="Maven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aven Pro" w:cs="Maven Pro" w:eastAsia="Maven Pro" w:hAnsi="Maven Pro"/>
        <w:color w:val="454545"/>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pacing w:after="360" w:before="360" w:line="240" w:lineRule="auto"/>
      <w:ind w:left="720"/>
      <w:jc w:val="both"/>
    </w:pPr>
    <w:rPr>
      <w:rFonts w:ascii="Calibri" w:cs="Calibri" w:eastAsia="Calibri" w:hAnsi="Calibri"/>
      <w:b w:val="1"/>
      <w:bCs w:val="1"/>
      <w:color w:val="538135"/>
      <w:sz w:val="24"/>
      <w:szCs w:val="24"/>
    </w:rPr>
  </w:style>
  <w:style w:type="paragraph" w:styleId="Heading2">
    <w:name w:val="heading 2"/>
    <w:basedOn w:val="Normal"/>
    <w:next w:val="Normal"/>
    <w:pPr>
      <w:pBdr>
        <w:top w:space="0" w:sz="0" w:val="nil"/>
        <w:left w:space="0" w:sz="0" w:val="nil"/>
        <w:bottom w:space="0" w:sz="0" w:val="nil"/>
        <w:right w:space="0" w:sz="0" w:val="nil"/>
        <w:between w:space="0" w:sz="0" w:val="nil"/>
      </w:pBdr>
      <w:spacing w:after="360" w:before="360" w:line="240" w:lineRule="auto"/>
      <w:ind w:left="720"/>
      <w:jc w:val="both"/>
    </w:pPr>
    <w:rPr>
      <w:rFonts w:ascii="Calibri" w:cs="Calibri" w:eastAsia="Calibri" w:hAnsi="Calibri"/>
      <w:b w:val="1"/>
      <w:bCs w:val="1"/>
      <w:color w:val="538135"/>
      <w:sz w:val="24"/>
      <w:szCs w:val="24"/>
    </w:rPr>
  </w:style>
  <w:style w:type="paragraph" w:styleId="Heading3">
    <w:name w:val="heading 3"/>
    <w:basedOn w:val="Normal"/>
    <w:next w:val="Normal"/>
    <w:pPr>
      <w:keepNext w:val="1"/>
      <w:keepLines w:val="1"/>
      <w:spacing w:after="0" w:before="40" w:lineRule="auto"/>
      <w:ind w:left="1440"/>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ind w:left="2160"/>
    </w:pPr>
    <w:rPr>
      <w:rFonts w:ascii="Calibri" w:cs="Calibri" w:eastAsia="Calibri" w:hAnsi="Calibri"/>
      <w:i w:val="1"/>
      <w:iCs w:val="1"/>
      <w:color w:val="2e75b5"/>
    </w:rPr>
  </w:style>
  <w:style w:type="paragraph" w:styleId="Heading5">
    <w:name w:val="heading 5"/>
    <w:basedOn w:val="Normal"/>
    <w:next w:val="Normal"/>
    <w:pPr>
      <w:keepNext w:val="1"/>
      <w:keepLines w:val="1"/>
      <w:spacing w:after="0" w:before="40" w:lineRule="auto"/>
      <w:ind w:left="2880"/>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3600"/>
    </w:pPr>
    <w:rPr>
      <w:rFonts w:ascii="Calibri" w:cs="Calibri" w:eastAsia="Calibri" w:hAnsi="Calibri"/>
      <w:color w:val="1e4d78"/>
    </w:rPr>
  </w:style>
  <w:style w:type="paragraph" w:styleId="Title">
    <w:name w:val="Title"/>
    <w:basedOn w:val="Normal"/>
    <w:next w:val="Normal"/>
    <w:pPr>
      <w:pBdr>
        <w:top w:space="0" w:sz="0" w:val="nil"/>
        <w:left w:space="0" w:sz="0" w:val="nil"/>
        <w:bottom w:space="0" w:sz="0" w:val="nil"/>
        <w:right w:space="0" w:sz="0" w:val="nil"/>
        <w:between w:space="0" w:sz="0" w:val="nil"/>
      </w:pBdr>
      <w:spacing w:after="0" w:line="240" w:lineRule="auto"/>
      <w:jc w:val="center"/>
    </w:pPr>
    <w:rPr>
      <w:rFonts w:ascii="Fira Sans" w:cs="Fira Sans" w:eastAsia="Fira Sans" w:hAnsi="Fira Sans"/>
      <w:b w:val="1"/>
      <w:bCs w:val="1"/>
      <w:color w:val="385623"/>
      <w:sz w:val="30"/>
      <w:szCs w:val="3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avenPro-regular.ttf"/><Relationship Id="rId2" Type="http://schemas.openxmlformats.org/officeDocument/2006/relationships/font" Target="fonts/MavenPro-bold.ttf"/><Relationship Id="rId3" Type="http://schemas.openxmlformats.org/officeDocument/2006/relationships/font" Target="fonts/FiraSans-regular.ttf"/><Relationship Id="rId4" Type="http://schemas.openxmlformats.org/officeDocument/2006/relationships/font" Target="fonts/FiraSans-bold.ttf"/><Relationship Id="rId5" Type="http://schemas.openxmlformats.org/officeDocument/2006/relationships/font" Target="fonts/FiraSans-italic.ttf"/><Relationship Id="rId6" Type="http://schemas.openxmlformats.org/officeDocument/2006/relationships/font" Target="fonts/Fira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AYwEYwALjo8Ypca3+8xbixR8Q==">CgMxLjA4AHIhMXRWbHlNUUdjaEFOcDBlMi1HNktCaXlSUmxSREk0TXJK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